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numPr>
          <w:numId w:val="0"/>
        </w:numPr>
        <w:spacing w:before="62" w:beforeLines="20" w:after="62" w:afterLines="20" w:line="480" w:lineRule="exact"/>
        <w:jc w:val="center"/>
        <w:rPr>
          <w:rFonts w:hint="eastAsia" w:ascii="Arial" w:hAnsi="Arial" w:cs="Times New Roman"/>
          <w:kern w:val="2"/>
          <w:sz w:val="32"/>
          <w:szCs w:val="32"/>
          <w:lang w:val="zh-CN"/>
        </w:rPr>
      </w:pPr>
      <w:bookmarkStart w:id="1" w:name="_GoBack"/>
      <w:bookmarkEnd w:id="1"/>
      <w:bookmarkStart w:id="0" w:name="_Toc12356"/>
      <w:r>
        <w:rPr>
          <w:rFonts w:hint="eastAsia" w:ascii="Arial" w:hAnsi="Arial" w:cs="Times New Roman"/>
          <w:kern w:val="2"/>
          <w:sz w:val="32"/>
          <w:szCs w:val="32"/>
          <w:lang w:eastAsia="zh-CN"/>
        </w:rPr>
        <w:t>货物</w:t>
      </w:r>
      <w:r>
        <w:rPr>
          <w:rFonts w:hint="eastAsia" w:ascii="Arial" w:hAnsi="Arial" w:cs="Times New Roman"/>
          <w:kern w:val="2"/>
          <w:sz w:val="32"/>
          <w:szCs w:val="32"/>
        </w:rPr>
        <w:t>需求及技术要求</w:t>
      </w:r>
      <w:bookmarkEnd w:id="0"/>
    </w:p>
    <w:p>
      <w:pPr>
        <w:rPr>
          <w:rFonts w:hint="eastAsia" w:eastAsia="宋体" w:cs="Times New Roman"/>
          <w:lang w:val="zh-CN"/>
        </w:rPr>
      </w:pP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基本需求及技术要求</w:t>
      </w:r>
      <w:r>
        <w:rPr>
          <w:rFonts w:hint="eastAsia" w:ascii="宋体" w:hAnsi="宋体" w:eastAsia="宋体" w:cs="宋体"/>
          <w:b/>
          <w:bCs/>
          <w:sz w:val="21"/>
          <w:szCs w:val="21"/>
          <w:highlight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sz w:val="21"/>
          <w:szCs w:val="21"/>
          <w:highlight w:val="none"/>
          <w:lang w:val="en-US" w:eastAsia="zh-CN"/>
        </w:rPr>
        <w:t>一</w:t>
      </w:r>
      <w:r>
        <w:rPr>
          <w:rFonts w:hint="eastAsia" w:ascii="宋体" w:hAnsi="宋体" w:eastAsia="宋体" w:cs="宋体"/>
          <w:color w:val="auto"/>
          <w:sz w:val="21"/>
          <w:szCs w:val="21"/>
          <w:highlight w:val="none"/>
          <w:lang w:val="en-US" w:eastAsia="zh-CN"/>
        </w:rPr>
        <w:t>、</w:t>
      </w:r>
      <w:r>
        <w:rPr>
          <w:rFonts w:hint="eastAsia" w:ascii="宋体" w:hAnsi="宋体" w:eastAsia="宋体" w:cs="宋体"/>
          <w:b/>
          <w:bCs/>
          <w:sz w:val="21"/>
          <w:szCs w:val="21"/>
          <w:highlight w:val="none"/>
          <w:lang w:val="en-US" w:eastAsia="zh-CN"/>
        </w:rPr>
        <w:t>供应商须知：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sz w:val="21"/>
          <w:szCs w:val="21"/>
          <w:highlight w:val="none"/>
          <w:lang w:eastAsia="zh-Hans"/>
        </w:rPr>
      </w:pPr>
      <w:r>
        <w:rPr>
          <w:rFonts w:hint="eastAsia" w:ascii="宋体" w:hAnsi="宋体" w:eastAsia="宋体" w:cs="宋体"/>
          <w:sz w:val="21"/>
          <w:szCs w:val="21"/>
          <w:highlight w:val="none"/>
          <w:lang w:val="en-US" w:eastAsia="zh-CN"/>
        </w:rPr>
        <w:t>1、中标供应商</w:t>
      </w:r>
      <w:r>
        <w:rPr>
          <w:rFonts w:hint="eastAsia" w:ascii="宋体" w:hAnsi="宋体" w:eastAsia="宋体" w:cs="宋体"/>
          <w:sz w:val="21"/>
          <w:szCs w:val="21"/>
          <w:highlight w:val="none"/>
          <w:lang w:eastAsia="zh-Hans"/>
        </w:rPr>
        <w:t>有相应的分拣场地、仓储、检验设施等，具备较强的供货和运输能力，企业信誉良好，售后服务及时。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应严格按照《食品安全法》等相关规章制度执行，做好食品安全及安全生产工作，如采购人员工、亲友及第三方人员因使用</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产品发生任何食品安全或安全生产事故等，均由</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自行负责一切赔偿和法律责任，采购人不承担任何连带责任。如发生大面积食品安全或安全事故问题，对采购人造成不良影响，采购人有权按照相关法律法规追究</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相关法律责任及索取经济赔偿。</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3、中标供应商提供的粮油额度不少于530元/人（粮油额度按附件格式填写）。供应商须提供供货清单及方案供采购人选择，最终的供货商品方案由采购人确定。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lang w:val="en-US" w:eastAsia="zh-CN"/>
        </w:rPr>
        <w:t>二</w:t>
      </w:r>
      <w:r>
        <w:rPr>
          <w:rFonts w:hint="eastAsia" w:ascii="Times New Roman" w:hAnsi="Times New Roman" w:eastAsia="宋体" w:cs="Times New Roman"/>
          <w:b/>
          <w:bCs/>
          <w:color w:val="auto"/>
          <w:lang w:val="en-US" w:eastAsia="zh-Hans"/>
        </w:rPr>
        <w:t>、</w:t>
      </w:r>
      <w:r>
        <w:rPr>
          <w:rFonts w:hint="eastAsia" w:ascii="Times New Roman" w:hAnsi="Times New Roman" w:eastAsia="宋体" w:cs="Times New Roman"/>
          <w:b/>
          <w:bCs/>
          <w:color w:val="auto"/>
          <w:highlight w:val="none"/>
          <w:lang w:val="en-US" w:eastAsia="zh-CN"/>
        </w:rPr>
        <w:t>配送方式及结算方式：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color w:val="auto"/>
          <w:lang w:val="en-US" w:eastAsia="zh-CN"/>
        </w:rPr>
        <w:t>由学校工会与中标企业签订供货合同，配送品种、企业名单、资质等信息应向教职员工公告。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b/>
          <w:bCs/>
          <w:color w:val="auto"/>
          <w:highlight w:val="none"/>
          <w:lang w:val="en-US" w:eastAsia="zh-CN"/>
        </w:rPr>
        <w:t>2、</w:t>
      </w:r>
      <w:r>
        <w:rPr>
          <w:rFonts w:hint="eastAsia" w:ascii="Times New Roman" w:hAnsi="Times New Roman" w:eastAsia="宋体" w:cs="Times New Roman"/>
          <w:color w:val="auto"/>
          <w:lang w:val="en-US" w:eastAsia="zh-CN"/>
        </w:rPr>
        <w:t>结算方式：根据职工实际人数*约 450 元/人</w:t>
      </w:r>
      <w:r>
        <w:rPr>
          <w:rFonts w:hint="eastAsia" w:ascii="Times New Roman" w:hAnsi="Times New Roman" w:eastAsia="宋体" w:cs="Times New Roman"/>
          <w:color w:val="auto"/>
          <w:highlight w:val="none"/>
          <w:lang w:val="en-US" w:eastAsia="zh-CN"/>
        </w:rPr>
        <w:t>（如最终供货金额不足或超出供应商提供的粮油额度按同等比例下浮或上浮据实）</w:t>
      </w:r>
      <w:r>
        <w:rPr>
          <w:rFonts w:hint="eastAsia" w:ascii="Times New Roman" w:hAnsi="Times New Roman" w:eastAsia="宋体" w:cs="Times New Roman"/>
          <w:color w:val="auto"/>
          <w:lang w:val="en-US" w:eastAsia="zh-CN"/>
        </w:rPr>
        <w:t>开具正规发票结算。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附件：粮油优惠额度（注：供应商如未在投标文件中提供粮油额度，默认按最低粮油额度562 元/人进行供货，此表不接受二次提交。）</w:t>
      </w:r>
    </w:p>
    <w:tbl>
      <w:tblPr>
        <w:tblStyle w:val="4"/>
        <w:tblpPr w:leftFromText="180" w:rightFromText="180" w:vertAnchor="text" w:horzAnchor="page" w:tblpX="1786" w:tblpY="3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4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exact"/>
        </w:trPr>
        <w:tc>
          <w:tcPr>
            <w:tcW w:w="0" w:type="auto"/>
            <w:vMerge w:val="restart"/>
            <w:noWrap w:val="0"/>
            <w:vAlign w:val="center"/>
          </w:tcPr>
          <w:p>
            <w:pPr>
              <w:spacing w:line="400" w:lineRule="exact"/>
              <w:jc w:val="center"/>
              <w:rPr>
                <w:rFonts w:hint="eastAsia" w:ascii="Times New Roman" w:hAnsi="Times New Roman" w:eastAsia="宋体" w:cs="Times New Roman"/>
                <w:sz w:val="24"/>
              </w:rPr>
            </w:pPr>
            <w:r>
              <w:rPr>
                <w:rFonts w:hint="eastAsia" w:ascii="Times New Roman" w:hAnsi="宋体" w:eastAsia="宋体" w:cs="Times New Roman"/>
                <w:sz w:val="24"/>
              </w:rPr>
              <w:t>粮油额度</w:t>
            </w:r>
          </w:p>
        </w:tc>
        <w:tc>
          <w:tcPr>
            <w:tcW w:w="0" w:type="auto"/>
            <w:noWrap w:val="0"/>
            <w:vAlign w:val="center"/>
          </w:tcPr>
          <w:p>
            <w:pPr>
              <w:wordWrap w:val="0"/>
              <w:spacing w:line="400" w:lineRule="exact"/>
              <w:rPr>
                <w:rFonts w:hint="eastAsia" w:ascii="Times New Roman" w:hAnsi="Times New Roman" w:eastAsia="宋体" w:cs="Times New Roman"/>
                <w:sz w:val="24"/>
                <w:lang w:val="en-US" w:eastAsia="zh-CN"/>
              </w:rPr>
            </w:pPr>
            <w:r>
              <w:rPr>
                <w:rFonts w:hint="eastAsia" w:ascii="Times New Roman" w:hAnsi="宋体" w:eastAsia="宋体" w:cs="Times New Roman"/>
                <w:sz w:val="24"/>
              </w:rPr>
              <w:t>大写：</w:t>
            </w:r>
            <w:r>
              <w:rPr>
                <w:rFonts w:ascii="Times New Roman" w:hAnsi="Times New Roman" w:eastAsia="宋体" w:cs="Times New Roman"/>
                <w:sz w:val="24"/>
              </w:rPr>
              <w:t xml:space="preserve"> </w:t>
            </w:r>
            <w:r>
              <w:rPr>
                <w:rFonts w:hint="eastAsia" w:ascii="Times New Roman" w:hAnsi="Times New Roman" w:eastAsia="宋体" w:cs="Times New Roman"/>
                <w:sz w:val="24"/>
              </w:rPr>
              <w:t>人民币</w:t>
            </w:r>
            <w:r>
              <w:rPr>
                <w:rFonts w:hint="eastAsia" w:eastAsia="宋体" w:cs="Times New Roman"/>
                <w:sz w:val="24"/>
                <w:lang w:val="en-US" w:eastAsia="zh-CN"/>
              </w:rPr>
              <w:t xml:space="preserve">              </w:t>
            </w:r>
            <w:r>
              <w:rPr>
                <w:rFonts w:hint="eastAsia" w:ascii="Times New Roman" w:hAnsi="Times New Roman" w:eastAsia="宋体" w:cs="Times New Roman"/>
                <w:sz w:val="24"/>
              </w:rPr>
              <w:t>元</w:t>
            </w:r>
            <w:r>
              <w:rPr>
                <w:rFonts w:hint="eastAsia" w:eastAsia="宋体" w:cs="Times New Roman"/>
                <w:sz w:val="24"/>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exact"/>
        </w:trPr>
        <w:tc>
          <w:tcPr>
            <w:tcW w:w="0" w:type="auto"/>
            <w:vMerge w:val="continue"/>
            <w:noWrap w:val="0"/>
            <w:vAlign w:val="center"/>
          </w:tcPr>
          <w:p>
            <w:pPr>
              <w:spacing w:line="400" w:lineRule="exact"/>
              <w:jc w:val="center"/>
              <w:rPr>
                <w:rFonts w:ascii="Times New Roman" w:hAnsi="Times New Roman" w:eastAsia="宋体" w:cs="Times New Roman"/>
                <w:sz w:val="24"/>
              </w:rPr>
            </w:pPr>
          </w:p>
        </w:tc>
        <w:tc>
          <w:tcPr>
            <w:tcW w:w="0" w:type="auto"/>
            <w:noWrap w:val="0"/>
            <w:vAlign w:val="center"/>
          </w:tcPr>
          <w:p>
            <w:pPr>
              <w:wordWrap w:val="0"/>
              <w:rPr>
                <w:rFonts w:ascii="Times New Roman" w:hAnsi="宋体" w:eastAsia="宋体" w:cs="Times New Roman"/>
                <w:sz w:val="24"/>
              </w:rPr>
            </w:pPr>
            <w:r>
              <w:rPr>
                <w:rFonts w:hint="eastAsia" w:ascii="Times New Roman" w:hAnsi="宋体" w:eastAsia="宋体" w:cs="Times New Roman"/>
                <w:sz w:val="24"/>
              </w:rPr>
              <w:t>小写：￥</w:t>
            </w:r>
            <w:r>
              <w:rPr>
                <w:rFonts w:hint="eastAsia" w:hAnsi="宋体" w:eastAsia="宋体" w:cs="Times New Roman"/>
                <w:sz w:val="24"/>
                <w:lang w:val="en-US" w:eastAsia="zh-CN"/>
              </w:rPr>
              <w:t xml:space="preserve">             </w:t>
            </w:r>
            <w:r>
              <w:rPr>
                <w:rFonts w:hint="eastAsia" w:ascii="Times New Roman" w:hAnsi="宋体" w:eastAsia="宋体" w:cs="Times New Roman"/>
                <w:sz w:val="24"/>
              </w:rPr>
              <w:t>元/人</w:t>
            </w:r>
            <w:r>
              <w:rPr>
                <w:rFonts w:ascii="Times New Roman" w:hAnsi="宋体"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exact"/>
        </w:trPr>
        <w:tc>
          <w:tcPr>
            <w:tcW w:w="0" w:type="auto"/>
            <w:gridSpan w:val="2"/>
            <w:noWrap w:val="0"/>
            <w:vAlign w:val="center"/>
          </w:tcPr>
          <w:p>
            <w:pPr>
              <w:spacing w:line="400" w:lineRule="exact"/>
              <w:jc w:val="left"/>
              <w:rPr>
                <w:rFonts w:eastAsia="宋体" w:cs="Times New Roman"/>
              </w:rPr>
            </w:pPr>
            <w:r>
              <w:rPr>
                <w:rFonts w:hint="eastAsia" w:eastAsia="宋体" w:cs="Times New Roman"/>
              </w:rPr>
              <w:t>备注：</w:t>
            </w:r>
          </w:p>
          <w:p>
            <w:pPr>
              <w:numPr>
                <w:ilvl w:val="0"/>
                <w:numId w:val="1"/>
              </w:numPr>
              <w:spacing w:line="400" w:lineRule="exact"/>
              <w:ind w:left="104" w:leftChars="0" w:firstLine="0" w:firstLineChars="0"/>
              <w:rPr>
                <w:rFonts w:hint="eastAsia" w:eastAsia="宋体" w:cs="Times New Roman"/>
              </w:rPr>
            </w:pPr>
            <w:r>
              <w:rPr>
                <w:rFonts w:hint="eastAsia" w:eastAsia="宋体" w:cs="Times New Roman"/>
              </w:rPr>
              <w:t>粮油额度报价保留两位小数，小数点后第三位四舍五入。</w:t>
            </w:r>
          </w:p>
          <w:p>
            <w:pPr>
              <w:pStyle w:val="2"/>
              <w:numPr>
                <w:ilvl w:val="0"/>
                <w:numId w:val="1"/>
              </w:numPr>
              <w:ind w:left="104" w:leftChars="0" w:firstLine="0" w:firstLineChars="0"/>
              <w:rPr>
                <w:rFonts w:hint="eastAsia" w:eastAsia="宋体" w:cs="Times New Roman"/>
                <w:lang w:val="en-US" w:eastAsia="zh-CN"/>
              </w:rPr>
            </w:pPr>
            <w:r>
              <w:rPr>
                <w:rFonts w:hint="eastAsia" w:eastAsia="宋体" w:cs="Times New Roman"/>
                <w:lang w:val="en-US" w:eastAsia="zh-CN"/>
              </w:rPr>
              <w:t>粮油额度不少于530元/人；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7D301"/>
    <w:multiLevelType w:val="singleLevel"/>
    <w:tmpl w:val="AAF7D30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YTA2NWVlMjZiZWExNDM3NWU0MmQ0N2Q1MmJiZDcifQ=="/>
  </w:docVars>
  <w:rsids>
    <w:rsidRoot w:val="0D6A2664"/>
    <w:rsid w:val="0D6A2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