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78"/>
        </w:tabs>
        <w:spacing w:after="156" w:afterLines="50" w:line="500" w:lineRule="exact"/>
        <w:rPr>
          <w:rFonts w:ascii="黑体" w:hAnsi="黑体" w:eastAsia="黑体"/>
          <w:sz w:val="32"/>
          <w:szCs w:val="32"/>
        </w:rPr>
      </w:pPr>
      <w:r>
        <w:rPr>
          <w:rFonts w:hint="eastAsia" w:ascii="黑体" w:hAnsi="黑体" w:eastAsia="黑体"/>
          <w:sz w:val="32"/>
          <w:szCs w:val="32"/>
        </w:rPr>
        <w:t>附件1</w:t>
      </w:r>
    </w:p>
    <w:p>
      <w:pPr>
        <w:tabs>
          <w:tab w:val="left" w:pos="3778"/>
        </w:tabs>
        <w:spacing w:after="156" w:afterLines="50" w:line="500" w:lineRule="exact"/>
        <w:jc w:val="center"/>
        <w:rPr>
          <w:rFonts w:ascii="黑体" w:hAnsi="黑体" w:eastAsia="黑体"/>
          <w:sz w:val="32"/>
          <w:szCs w:val="32"/>
        </w:rPr>
      </w:pPr>
      <w:r>
        <w:rPr>
          <w:rFonts w:hint="eastAsia" w:ascii="黑体" w:hAnsi="黑体" w:eastAsia="黑体"/>
          <w:sz w:val="32"/>
          <w:szCs w:val="32"/>
        </w:rPr>
        <w:t>在研科研项目名单</w:t>
      </w:r>
    </w:p>
    <w:p>
      <w:pPr>
        <w:numPr>
          <w:ilvl w:val="0"/>
          <w:numId w:val="1"/>
        </w:numPr>
        <w:spacing w:line="480" w:lineRule="exact"/>
        <w:ind w:left="560"/>
        <w:rPr>
          <w:rFonts w:hint="eastAsia" w:ascii="方正仿宋_GBK" w:eastAsia="方正仿宋_GBK"/>
          <w:b/>
          <w:bCs/>
          <w:sz w:val="28"/>
          <w:szCs w:val="28"/>
        </w:rPr>
      </w:pPr>
      <w:r>
        <w:rPr>
          <w:rFonts w:hint="eastAsia" w:ascii="方正仿宋_GBK" w:eastAsia="方正仿宋_GBK"/>
          <w:b/>
          <w:bCs/>
          <w:sz w:val="28"/>
          <w:szCs w:val="28"/>
        </w:rPr>
        <w:t>哲学社科组</w:t>
      </w:r>
    </w:p>
    <w:p>
      <w:pPr>
        <w:spacing w:line="480" w:lineRule="exact"/>
        <w:ind w:firstLine="560" w:firstLineChars="200"/>
        <w:rPr>
          <w:rFonts w:hint="eastAsia" w:ascii="方正仿宋_GBK" w:eastAsia="方正仿宋_GBK"/>
          <w:b/>
          <w:bCs/>
          <w:sz w:val="28"/>
          <w:szCs w:val="28"/>
          <w:lang w:val="en-US" w:eastAsia="zh-CN"/>
        </w:rPr>
      </w:pPr>
      <w:r>
        <w:rPr>
          <w:rFonts w:hint="eastAsia" w:ascii="方正仿宋_GBK" w:eastAsia="方正仿宋_GBK"/>
          <w:b/>
          <w:bCs/>
          <w:sz w:val="28"/>
          <w:szCs w:val="28"/>
          <w:lang w:eastAsia="zh-CN"/>
        </w:rPr>
        <w:t>（</w:t>
      </w:r>
      <w:r>
        <w:rPr>
          <w:rFonts w:hint="eastAsia" w:ascii="方正仿宋_GBK" w:eastAsia="方正仿宋_GBK"/>
          <w:b/>
          <w:bCs/>
          <w:sz w:val="28"/>
          <w:szCs w:val="28"/>
          <w:lang w:val="en-US" w:eastAsia="zh-CN"/>
        </w:rPr>
        <w:t>一</w:t>
      </w:r>
      <w:r>
        <w:rPr>
          <w:rFonts w:hint="eastAsia" w:ascii="方正仿宋_GBK" w:eastAsia="方正仿宋_GBK"/>
          <w:b/>
          <w:bCs/>
          <w:sz w:val="28"/>
          <w:szCs w:val="28"/>
          <w:lang w:eastAsia="zh-CN"/>
        </w:rPr>
        <w:t>）</w:t>
      </w:r>
      <w:r>
        <w:rPr>
          <w:rFonts w:hint="eastAsia" w:ascii="方正仿宋_GBK" w:eastAsia="方正仿宋_GBK"/>
          <w:b/>
          <w:bCs/>
          <w:sz w:val="28"/>
          <w:szCs w:val="28"/>
          <w:lang w:val="en-US" w:eastAsia="zh-CN"/>
        </w:rPr>
        <w:t>2021年省级立项项目</w:t>
      </w:r>
    </w:p>
    <w:p>
      <w:pPr>
        <w:pStyle w:val="4"/>
        <w:numPr>
          <w:ilvl w:val="0"/>
          <w:numId w:val="2"/>
        </w:numPr>
        <w:spacing w:line="480" w:lineRule="exact"/>
        <w:ind w:firstLineChars="0"/>
        <w:rPr>
          <w:rFonts w:hint="eastAsia" w:ascii="方正仿宋_GBK" w:eastAsia="方正仿宋_GBK"/>
          <w:sz w:val="28"/>
          <w:szCs w:val="28"/>
          <w:lang w:eastAsia="zh-CN"/>
        </w:rPr>
      </w:pPr>
      <w:r>
        <w:rPr>
          <w:rFonts w:ascii="方正仿宋_GBK" w:eastAsia="方正仿宋_GBK"/>
          <w:sz w:val="28"/>
          <w:szCs w:val="28"/>
        </w:rPr>
        <w:t>地域红色文化融入高职院校思想政治教育的理路研究</w:t>
      </w:r>
      <w:r>
        <w:rPr>
          <w:rFonts w:hint="eastAsia" w:ascii="方正仿宋_GBK" w:eastAsia="方正仿宋_GBK"/>
          <w:sz w:val="28"/>
          <w:szCs w:val="28"/>
          <w:lang w:eastAsia="zh-CN"/>
        </w:rPr>
        <w:t>（</w:t>
      </w:r>
      <w:r>
        <w:rPr>
          <w:rFonts w:ascii="方正仿宋_GBK" w:eastAsia="方正仿宋_GBK"/>
          <w:sz w:val="28"/>
          <w:szCs w:val="28"/>
        </w:rPr>
        <w:t>左方霞</w:t>
      </w:r>
      <w:r>
        <w:rPr>
          <w:rFonts w:hint="eastAsia" w:ascii="方正仿宋_GBK" w:eastAsia="方正仿宋_GBK"/>
          <w:sz w:val="28"/>
          <w:szCs w:val="28"/>
          <w:lang w:eastAsia="zh-CN"/>
        </w:rPr>
        <w:t>）</w:t>
      </w:r>
    </w:p>
    <w:p>
      <w:pPr>
        <w:pStyle w:val="4"/>
        <w:numPr>
          <w:ilvl w:val="0"/>
          <w:numId w:val="2"/>
        </w:numPr>
        <w:spacing w:line="480" w:lineRule="exact"/>
        <w:ind w:firstLineChars="0"/>
        <w:rPr>
          <w:rFonts w:hint="eastAsia" w:ascii="方正仿宋_GBK" w:eastAsia="方正仿宋_GBK"/>
          <w:sz w:val="28"/>
          <w:szCs w:val="28"/>
          <w:lang w:val="en-US" w:eastAsia="zh-CN"/>
        </w:rPr>
      </w:pPr>
      <w:r>
        <w:rPr>
          <w:rFonts w:ascii="方正仿宋_GBK" w:eastAsia="方正仿宋_GBK"/>
          <w:sz w:val="28"/>
          <w:szCs w:val="28"/>
        </w:rPr>
        <w:t>以市场为导向的财务岗位胜任力模型建构及应用研究</w:t>
      </w:r>
      <w:r>
        <w:rPr>
          <w:rFonts w:hint="eastAsia" w:ascii="方正仿宋_GBK" w:eastAsia="方正仿宋_GBK"/>
          <w:sz w:val="28"/>
          <w:szCs w:val="28"/>
          <w:lang w:eastAsia="zh-CN"/>
        </w:rPr>
        <w:t>（</w:t>
      </w:r>
      <w:r>
        <w:rPr>
          <w:rFonts w:hint="eastAsia" w:ascii="方正仿宋_GBK" w:eastAsia="方正仿宋_GBK"/>
          <w:sz w:val="28"/>
          <w:szCs w:val="28"/>
          <w:lang w:val="en-US" w:eastAsia="zh-CN"/>
        </w:rPr>
        <w:t>查金莲</w:t>
      </w:r>
      <w:r>
        <w:rPr>
          <w:rFonts w:hint="eastAsia" w:ascii="方正仿宋_GBK" w:eastAsia="方正仿宋_GBK"/>
          <w:sz w:val="28"/>
          <w:szCs w:val="28"/>
          <w:lang w:eastAsia="zh-CN"/>
        </w:rPr>
        <w:t>）</w:t>
      </w:r>
    </w:p>
    <w:p>
      <w:pPr>
        <w:pStyle w:val="4"/>
        <w:numPr>
          <w:ilvl w:val="0"/>
          <w:numId w:val="2"/>
        </w:numPr>
        <w:spacing w:line="480" w:lineRule="exact"/>
        <w:ind w:firstLineChars="0"/>
        <w:rPr>
          <w:rFonts w:hint="eastAsia" w:ascii="方正仿宋_GBK" w:eastAsia="方正仿宋_GBK"/>
          <w:sz w:val="28"/>
          <w:szCs w:val="28"/>
          <w:lang w:val="en-US" w:eastAsia="zh-CN"/>
        </w:rPr>
      </w:pPr>
      <w:r>
        <w:rPr>
          <w:rFonts w:ascii="方正仿宋_GBK" w:eastAsia="方正仿宋_GBK"/>
          <w:sz w:val="28"/>
          <w:szCs w:val="28"/>
        </w:rPr>
        <w:t>文化育人体系下高职学生课外阅读研究—— 以安庆职业技术学院为例</w:t>
      </w:r>
      <w:r>
        <w:rPr>
          <w:rFonts w:hint="eastAsia" w:ascii="方正仿宋_GBK" w:eastAsia="方正仿宋_GBK"/>
          <w:sz w:val="28"/>
          <w:szCs w:val="28"/>
          <w:lang w:eastAsia="zh-CN"/>
        </w:rPr>
        <w:t>（</w:t>
      </w:r>
      <w:r>
        <w:rPr>
          <w:rFonts w:hint="eastAsia" w:ascii="方正仿宋_GBK" w:eastAsia="方正仿宋_GBK"/>
          <w:sz w:val="28"/>
          <w:szCs w:val="28"/>
          <w:lang w:val="en-US" w:eastAsia="zh-CN"/>
        </w:rPr>
        <w:t>华春兰</w:t>
      </w:r>
      <w:r>
        <w:rPr>
          <w:rFonts w:hint="eastAsia" w:ascii="方正仿宋_GBK" w:eastAsia="方正仿宋_GBK"/>
          <w:sz w:val="28"/>
          <w:szCs w:val="28"/>
          <w:lang w:eastAsia="zh-CN"/>
        </w:rPr>
        <w:t>）</w:t>
      </w:r>
    </w:p>
    <w:p>
      <w:pPr>
        <w:pStyle w:val="4"/>
        <w:numPr>
          <w:ilvl w:val="0"/>
          <w:numId w:val="2"/>
        </w:numPr>
        <w:spacing w:line="480" w:lineRule="exact"/>
        <w:ind w:firstLineChars="0"/>
        <w:rPr>
          <w:rFonts w:hint="eastAsia" w:ascii="方正仿宋_GBK" w:eastAsia="方正仿宋_GBK"/>
          <w:sz w:val="28"/>
          <w:szCs w:val="28"/>
          <w:lang w:val="en-US" w:eastAsia="zh-CN"/>
        </w:rPr>
      </w:pPr>
      <w:r>
        <w:rPr>
          <w:rFonts w:ascii="方正仿宋_GBK" w:eastAsia="方正仿宋_GBK"/>
          <w:sz w:val="28"/>
          <w:szCs w:val="28"/>
        </w:rPr>
        <w:t>乡村振兴背景下休闲体育融入农村社区文化的路径研究</w:t>
      </w:r>
      <w:r>
        <w:rPr>
          <w:rFonts w:hint="eastAsia" w:ascii="方正仿宋_GBK" w:eastAsia="方正仿宋_GBK"/>
          <w:sz w:val="28"/>
          <w:szCs w:val="28"/>
          <w:lang w:eastAsia="zh-CN"/>
        </w:rPr>
        <w:t>（</w:t>
      </w:r>
      <w:r>
        <w:rPr>
          <w:rFonts w:hint="eastAsia" w:ascii="方正仿宋_GBK" w:eastAsia="方正仿宋_GBK"/>
          <w:sz w:val="28"/>
          <w:szCs w:val="28"/>
          <w:lang w:val="en-US" w:eastAsia="zh-CN"/>
        </w:rPr>
        <w:t>查艳</w:t>
      </w:r>
      <w:r>
        <w:rPr>
          <w:rFonts w:hint="eastAsia" w:ascii="方正仿宋_GBK" w:eastAsia="方正仿宋_GBK"/>
          <w:sz w:val="28"/>
          <w:szCs w:val="28"/>
          <w:lang w:eastAsia="zh-CN"/>
        </w:rPr>
        <w:t>）</w:t>
      </w:r>
    </w:p>
    <w:p>
      <w:pPr>
        <w:pStyle w:val="4"/>
        <w:numPr>
          <w:ilvl w:val="0"/>
          <w:numId w:val="2"/>
        </w:numPr>
        <w:spacing w:line="480" w:lineRule="exact"/>
        <w:ind w:firstLineChars="0"/>
        <w:rPr>
          <w:rFonts w:hint="eastAsia" w:ascii="方正仿宋_GBK" w:eastAsia="方正仿宋_GBK"/>
          <w:sz w:val="28"/>
          <w:szCs w:val="28"/>
          <w:lang w:val="en-US" w:eastAsia="zh-CN"/>
        </w:rPr>
      </w:pPr>
      <w:r>
        <w:rPr>
          <w:rFonts w:ascii="方正仿宋_GBK" w:eastAsia="方正仿宋_GBK"/>
          <w:sz w:val="28"/>
          <w:szCs w:val="28"/>
        </w:rPr>
        <w:t>农业供给侧结构改革下农产品现代流通体系构建研究— 以岳西县为例</w:t>
      </w:r>
      <w:r>
        <w:rPr>
          <w:rFonts w:hint="eastAsia" w:ascii="方正仿宋_GBK" w:eastAsia="方正仿宋_GBK"/>
          <w:sz w:val="28"/>
          <w:szCs w:val="28"/>
          <w:lang w:eastAsia="zh-CN"/>
        </w:rPr>
        <w:t>（</w:t>
      </w:r>
      <w:r>
        <w:rPr>
          <w:rFonts w:hint="eastAsia" w:ascii="方正仿宋_GBK" w:eastAsia="方正仿宋_GBK"/>
          <w:sz w:val="28"/>
          <w:szCs w:val="28"/>
          <w:lang w:val="en-US" w:eastAsia="zh-CN"/>
        </w:rPr>
        <w:t>金结良</w:t>
      </w:r>
      <w:r>
        <w:rPr>
          <w:rFonts w:hint="eastAsia" w:ascii="方正仿宋_GBK" w:eastAsia="方正仿宋_GBK"/>
          <w:sz w:val="28"/>
          <w:szCs w:val="28"/>
          <w:lang w:eastAsia="zh-CN"/>
        </w:rPr>
        <w:t>）</w:t>
      </w:r>
    </w:p>
    <w:p>
      <w:pPr>
        <w:pStyle w:val="4"/>
        <w:numPr>
          <w:ilvl w:val="0"/>
          <w:numId w:val="2"/>
        </w:numPr>
        <w:spacing w:line="480" w:lineRule="exact"/>
        <w:ind w:firstLineChars="0"/>
        <w:rPr>
          <w:rFonts w:hint="eastAsia" w:ascii="方正仿宋_GBK" w:eastAsia="方正仿宋_GBK"/>
          <w:sz w:val="28"/>
          <w:szCs w:val="28"/>
          <w:lang w:val="en-US" w:eastAsia="zh-CN"/>
        </w:rPr>
      </w:pPr>
      <w:r>
        <w:rPr>
          <w:rFonts w:ascii="方正仿宋_GBK" w:eastAsia="方正仿宋_GBK"/>
          <w:sz w:val="28"/>
          <w:szCs w:val="28"/>
        </w:rPr>
        <w:t>乡村振兴视阈下农产品新媒体营销的对策研究—— 以安徽省为例</w:t>
      </w:r>
      <w:r>
        <w:rPr>
          <w:rFonts w:hint="eastAsia" w:ascii="方正仿宋_GBK" w:eastAsia="方正仿宋_GBK"/>
          <w:sz w:val="28"/>
          <w:szCs w:val="28"/>
          <w:lang w:eastAsia="zh-CN"/>
        </w:rPr>
        <w:t>（</w:t>
      </w:r>
      <w:r>
        <w:rPr>
          <w:rFonts w:hint="eastAsia" w:ascii="方正仿宋_GBK" w:eastAsia="方正仿宋_GBK"/>
          <w:sz w:val="28"/>
          <w:szCs w:val="28"/>
          <w:lang w:val="en-US" w:eastAsia="zh-CN"/>
        </w:rPr>
        <w:t>张艳艳</w:t>
      </w:r>
      <w:r>
        <w:rPr>
          <w:rFonts w:hint="eastAsia" w:ascii="方正仿宋_GBK" w:eastAsia="方正仿宋_GBK"/>
          <w:sz w:val="28"/>
          <w:szCs w:val="28"/>
          <w:lang w:eastAsia="zh-CN"/>
        </w:rPr>
        <w:t>）</w:t>
      </w:r>
    </w:p>
    <w:p>
      <w:pPr>
        <w:spacing w:line="480" w:lineRule="exact"/>
        <w:ind w:firstLine="560" w:firstLineChars="200"/>
        <w:rPr>
          <w:rFonts w:ascii="方正仿宋_GBK" w:eastAsia="方正仿宋_GBK"/>
          <w:b/>
          <w:bCs/>
          <w:sz w:val="28"/>
          <w:szCs w:val="28"/>
        </w:rPr>
      </w:pPr>
      <w:r>
        <w:rPr>
          <w:rFonts w:hint="eastAsia" w:ascii="方正仿宋_GBK" w:eastAsia="方正仿宋_GBK"/>
          <w:b/>
          <w:bCs/>
          <w:sz w:val="28"/>
          <w:szCs w:val="28"/>
        </w:rPr>
        <w:t>（</w:t>
      </w:r>
      <w:r>
        <w:rPr>
          <w:rFonts w:hint="eastAsia" w:ascii="方正仿宋_GBK" w:eastAsia="方正仿宋_GBK"/>
          <w:b/>
          <w:bCs/>
          <w:sz w:val="28"/>
          <w:szCs w:val="28"/>
          <w:lang w:val="en-US" w:eastAsia="zh-CN"/>
        </w:rPr>
        <w:t>二</w:t>
      </w:r>
      <w:r>
        <w:rPr>
          <w:rFonts w:hint="eastAsia" w:ascii="方正仿宋_GBK" w:eastAsia="方正仿宋_GBK"/>
          <w:b/>
          <w:bCs/>
          <w:sz w:val="28"/>
          <w:szCs w:val="28"/>
        </w:rPr>
        <w:t>）</w:t>
      </w:r>
      <w:r>
        <w:rPr>
          <w:rFonts w:ascii="方正仿宋_GBK" w:eastAsia="方正仿宋_GBK"/>
          <w:b/>
          <w:bCs/>
          <w:sz w:val="28"/>
          <w:szCs w:val="28"/>
        </w:rPr>
        <w:t>2022</w:t>
      </w:r>
      <w:r>
        <w:rPr>
          <w:rFonts w:hint="eastAsia" w:ascii="方正仿宋_GBK" w:eastAsia="方正仿宋_GBK"/>
          <w:b/>
          <w:bCs/>
          <w:sz w:val="28"/>
          <w:szCs w:val="28"/>
        </w:rPr>
        <w:t>年省级立项项目</w:t>
      </w:r>
    </w:p>
    <w:p>
      <w:pPr>
        <w:pStyle w:val="4"/>
        <w:numPr>
          <w:ilvl w:val="0"/>
          <w:numId w:val="2"/>
        </w:numPr>
        <w:spacing w:line="480" w:lineRule="exact"/>
        <w:ind w:firstLineChars="0"/>
        <w:rPr>
          <w:rFonts w:ascii="方正仿宋_GBK" w:eastAsia="方正仿宋_GBK"/>
          <w:sz w:val="28"/>
          <w:szCs w:val="28"/>
        </w:rPr>
      </w:pPr>
      <w:r>
        <w:rPr>
          <w:rFonts w:ascii="方正仿宋_GBK" w:eastAsia="方正仿宋_GBK"/>
          <w:sz w:val="28"/>
          <w:szCs w:val="28"/>
        </w:rPr>
        <w:t>地方高职院校助力乡村振兴战略背景下涉外人才培养路径研究与构建</w:t>
      </w:r>
      <w:r>
        <w:rPr>
          <w:rFonts w:hint="eastAsia" w:ascii="方正仿宋_GBK" w:eastAsia="方正仿宋_GBK"/>
          <w:sz w:val="28"/>
          <w:szCs w:val="28"/>
        </w:rPr>
        <w:t>——以安庆职业技术学院为例（汪江红）</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安庆市农村养老服务体系建设研究（何世亮）</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沿海城市旅游化演变及其对皖南国际文化旅游示范区的启示（张红）</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安庆地方文化视域下的大中小一体化思政课理论与实践研究（黄勤）</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类型教育背景下高职院校辅导员职业能力发展研究（褚诗茜）</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乡村振兴背景下农创企业演化机理及发展韧性研究（王似保）</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价值链视角下新型农业经营主体职业培训质量评价研究（汪全报）</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生态文明视阈下望江县农村面源污染综合治理研究（胡梦娟）</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乡村振兴背景下农村妇女职业教育实践与探索（朱宜娟）</w:t>
      </w:r>
    </w:p>
    <w:p>
      <w:pPr>
        <w:spacing w:line="480" w:lineRule="exact"/>
        <w:ind w:firstLine="560" w:firstLineChars="200"/>
        <w:rPr>
          <w:rFonts w:ascii="方正仿宋_GBK" w:eastAsia="方正仿宋_GBK"/>
          <w:b/>
          <w:bCs/>
          <w:sz w:val="28"/>
          <w:szCs w:val="28"/>
        </w:rPr>
      </w:pPr>
      <w:r>
        <w:rPr>
          <w:rFonts w:hint="eastAsia" w:ascii="方正仿宋_GBK" w:eastAsia="方正仿宋_GBK"/>
          <w:b/>
          <w:bCs/>
          <w:sz w:val="28"/>
          <w:szCs w:val="28"/>
        </w:rPr>
        <w:t>（</w:t>
      </w:r>
      <w:r>
        <w:rPr>
          <w:rFonts w:hint="eastAsia" w:ascii="方正仿宋_GBK" w:eastAsia="方正仿宋_GBK"/>
          <w:b/>
          <w:bCs/>
          <w:sz w:val="28"/>
          <w:szCs w:val="28"/>
          <w:lang w:val="en-US" w:eastAsia="zh-CN"/>
        </w:rPr>
        <w:t>三</w:t>
      </w:r>
      <w:r>
        <w:rPr>
          <w:rFonts w:hint="eastAsia" w:ascii="方正仿宋_GBK" w:eastAsia="方正仿宋_GBK"/>
          <w:b/>
          <w:bCs/>
          <w:sz w:val="28"/>
          <w:szCs w:val="28"/>
        </w:rPr>
        <w:t>）</w:t>
      </w:r>
      <w:r>
        <w:rPr>
          <w:rFonts w:ascii="方正仿宋_GBK" w:eastAsia="方正仿宋_GBK"/>
          <w:b/>
          <w:bCs/>
          <w:sz w:val="28"/>
          <w:szCs w:val="28"/>
        </w:rPr>
        <w:t>2022</w:t>
      </w:r>
      <w:r>
        <w:rPr>
          <w:rFonts w:hint="eastAsia" w:ascii="方正仿宋_GBK" w:eastAsia="方正仿宋_GBK"/>
          <w:b/>
          <w:bCs/>
          <w:sz w:val="28"/>
          <w:szCs w:val="28"/>
        </w:rPr>
        <w:t>年校级立项项目</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党全面依法治国领导力提升的历史启示研究（吴敏）</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“工匠精神”视域下高职城市轨道交通专业群学生职业素养培养与评价研究（殷洁）</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数字时代下黄梅戏元素传播策略研究（董辩辩）</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无货源模式涉及的知识产权问题研究（江园）</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技能型社会背景下工作环境对职业技能提升的影响研究</w:t>
      </w:r>
      <w:r>
        <w:rPr>
          <w:rFonts w:ascii="方正仿宋_GBK" w:eastAsia="方正仿宋_GBK"/>
          <w:sz w:val="28"/>
          <w:szCs w:val="28"/>
        </w:rPr>
        <w:t>--以高职毕业生为例</w:t>
      </w:r>
      <w:r>
        <w:rPr>
          <w:rFonts w:hint="eastAsia" w:ascii="方正仿宋_GBK" w:eastAsia="方正仿宋_GBK"/>
          <w:sz w:val="28"/>
          <w:szCs w:val="28"/>
        </w:rPr>
        <w:t>（孙文芳）</w:t>
      </w:r>
    </w:p>
    <w:p>
      <w:pPr>
        <w:spacing w:line="480" w:lineRule="exact"/>
        <w:ind w:firstLine="560" w:firstLineChars="200"/>
        <w:rPr>
          <w:rFonts w:ascii="方正仿宋_GBK" w:eastAsia="方正仿宋_GBK"/>
          <w:b/>
          <w:bCs/>
          <w:sz w:val="28"/>
          <w:szCs w:val="28"/>
        </w:rPr>
      </w:pPr>
      <w:r>
        <w:rPr>
          <w:rFonts w:hint="eastAsia" w:ascii="方正仿宋_GBK" w:eastAsia="方正仿宋_GBK"/>
          <w:b/>
          <w:bCs/>
          <w:sz w:val="28"/>
          <w:szCs w:val="28"/>
        </w:rPr>
        <w:t>（</w:t>
      </w:r>
      <w:r>
        <w:rPr>
          <w:rFonts w:hint="eastAsia" w:ascii="方正仿宋_GBK" w:eastAsia="方正仿宋_GBK"/>
          <w:b/>
          <w:bCs/>
          <w:sz w:val="28"/>
          <w:szCs w:val="28"/>
          <w:lang w:val="en-US" w:eastAsia="zh-CN"/>
        </w:rPr>
        <w:t>四</w:t>
      </w:r>
      <w:r>
        <w:rPr>
          <w:rFonts w:hint="eastAsia" w:ascii="方正仿宋_GBK" w:eastAsia="方正仿宋_GBK"/>
          <w:b/>
          <w:bCs/>
          <w:sz w:val="28"/>
          <w:szCs w:val="28"/>
        </w:rPr>
        <w:t>）</w:t>
      </w:r>
      <w:r>
        <w:rPr>
          <w:rFonts w:ascii="方正仿宋_GBK" w:eastAsia="方正仿宋_GBK"/>
          <w:b/>
          <w:bCs/>
          <w:sz w:val="28"/>
          <w:szCs w:val="28"/>
        </w:rPr>
        <w:t>2023</w:t>
      </w:r>
      <w:r>
        <w:rPr>
          <w:rFonts w:hint="eastAsia" w:ascii="方正仿宋_GBK" w:eastAsia="方正仿宋_GBK"/>
          <w:b/>
          <w:bCs/>
          <w:sz w:val="28"/>
          <w:szCs w:val="28"/>
        </w:rPr>
        <w:t>年推荐省级项目</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农产品新媒体营销：行为、动机与经济效果研究（李婷）</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乡村振兴背景下乡村文化旅游高质量发展研究（李荣）</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新时代高校“微思政”模式构建与创新研究（余锋）</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医教融合背景下社区居民对小儿鼾症认知的影响因素及改进策略研究（甘建玲）</w:t>
      </w:r>
    </w:p>
    <w:p>
      <w:pPr>
        <w:pStyle w:val="4"/>
        <w:numPr>
          <w:ilvl w:val="0"/>
          <w:numId w:val="2"/>
        </w:numPr>
        <w:spacing w:line="480" w:lineRule="exact"/>
        <w:ind w:firstLineChars="0"/>
        <w:rPr>
          <w:rFonts w:ascii="方正仿宋_GBK" w:eastAsia="方正仿宋_GBK"/>
          <w:sz w:val="28"/>
          <w:szCs w:val="28"/>
        </w:rPr>
      </w:pPr>
      <w:r>
        <w:rPr>
          <w:rFonts w:ascii="方正仿宋_GBK" w:eastAsia="方正仿宋_GBK"/>
          <w:sz w:val="28"/>
          <w:szCs w:val="28"/>
        </w:rPr>
        <w:t>文化自信视角下跨境电商企业文化输出路径研究</w:t>
      </w:r>
      <w:r>
        <w:rPr>
          <w:rFonts w:hint="eastAsia" w:ascii="方正仿宋_GBK" w:eastAsia="方正仿宋_GBK"/>
          <w:sz w:val="28"/>
          <w:szCs w:val="28"/>
        </w:rPr>
        <w:t>（余海凤）</w:t>
      </w:r>
    </w:p>
    <w:p>
      <w:pPr>
        <w:pStyle w:val="4"/>
        <w:numPr>
          <w:ilvl w:val="0"/>
          <w:numId w:val="1"/>
        </w:numPr>
        <w:spacing w:line="480" w:lineRule="exact"/>
        <w:ind w:left="560" w:leftChars="0" w:firstLine="0" w:firstLineChars="0"/>
        <w:rPr>
          <w:rFonts w:hint="eastAsia" w:ascii="方正仿宋_GBK" w:eastAsia="方正仿宋_GBK"/>
          <w:b/>
          <w:bCs/>
          <w:sz w:val="28"/>
          <w:szCs w:val="28"/>
        </w:rPr>
      </w:pPr>
      <w:r>
        <w:rPr>
          <w:rFonts w:hint="eastAsia" w:ascii="方正仿宋_GBK" w:eastAsia="方正仿宋_GBK"/>
          <w:b/>
          <w:bCs/>
          <w:sz w:val="28"/>
          <w:szCs w:val="28"/>
        </w:rPr>
        <w:t>自然科学组</w:t>
      </w:r>
    </w:p>
    <w:p>
      <w:pPr>
        <w:pStyle w:val="4"/>
        <w:numPr>
          <w:ilvl w:val="0"/>
          <w:numId w:val="0"/>
        </w:numPr>
        <w:spacing w:line="480" w:lineRule="exact"/>
        <w:ind w:left="560" w:leftChars="0"/>
        <w:rPr>
          <w:rFonts w:hint="eastAsia" w:ascii="方正仿宋_GBK" w:eastAsia="方正仿宋_GBK"/>
          <w:b/>
          <w:bCs/>
          <w:sz w:val="28"/>
          <w:szCs w:val="28"/>
          <w:lang w:val="en-US" w:eastAsia="zh-CN"/>
        </w:rPr>
      </w:pPr>
      <w:r>
        <w:rPr>
          <w:rFonts w:hint="eastAsia" w:ascii="方正仿宋_GBK" w:eastAsia="方正仿宋_GBK"/>
          <w:b/>
          <w:bCs/>
          <w:sz w:val="28"/>
          <w:szCs w:val="28"/>
          <w:lang w:eastAsia="zh-CN"/>
        </w:rPr>
        <w:t>（</w:t>
      </w:r>
      <w:r>
        <w:rPr>
          <w:rFonts w:hint="eastAsia" w:ascii="方正仿宋_GBK" w:eastAsia="方正仿宋_GBK"/>
          <w:b/>
          <w:bCs/>
          <w:sz w:val="28"/>
          <w:szCs w:val="28"/>
          <w:lang w:val="en-US" w:eastAsia="zh-CN"/>
        </w:rPr>
        <w:t>一</w:t>
      </w:r>
      <w:r>
        <w:rPr>
          <w:rFonts w:hint="eastAsia" w:ascii="方正仿宋_GBK" w:eastAsia="方正仿宋_GBK"/>
          <w:b/>
          <w:bCs/>
          <w:sz w:val="28"/>
          <w:szCs w:val="28"/>
          <w:lang w:eastAsia="zh-CN"/>
        </w:rPr>
        <w:t>）</w:t>
      </w:r>
      <w:r>
        <w:rPr>
          <w:rFonts w:hint="eastAsia" w:ascii="方正仿宋_GBK" w:eastAsia="方正仿宋_GBK"/>
          <w:b/>
          <w:bCs/>
          <w:sz w:val="28"/>
          <w:szCs w:val="28"/>
          <w:lang w:val="en-US" w:eastAsia="zh-CN"/>
        </w:rPr>
        <w:t>2021年省级立项项目</w:t>
      </w:r>
    </w:p>
    <w:p>
      <w:pPr>
        <w:pStyle w:val="4"/>
        <w:numPr>
          <w:ilvl w:val="0"/>
          <w:numId w:val="3"/>
        </w:numPr>
        <w:spacing w:line="480" w:lineRule="exact"/>
        <w:ind w:firstLineChars="0"/>
        <w:rPr>
          <w:rFonts w:hint="eastAsia" w:ascii="方正仿宋_GBK" w:eastAsia="方正仿宋_GBK"/>
          <w:sz w:val="28"/>
          <w:szCs w:val="28"/>
          <w:lang w:eastAsia="zh-CN"/>
        </w:rPr>
      </w:pPr>
      <w:r>
        <w:rPr>
          <w:rFonts w:hint="eastAsia" w:ascii="方正仿宋_GBK" w:eastAsia="方正仿宋_GBK"/>
          <w:sz w:val="28"/>
          <w:szCs w:val="28"/>
        </w:rPr>
        <w:t>芽孢杆菌防治白芨主要病害及其对白芨品质提升效果的机理研究</w:t>
      </w:r>
      <w:r>
        <w:rPr>
          <w:rFonts w:hint="eastAsia" w:ascii="方正仿宋_GBK" w:eastAsia="方正仿宋_GBK"/>
          <w:sz w:val="28"/>
          <w:szCs w:val="28"/>
          <w:lang w:eastAsia="zh-CN"/>
        </w:rPr>
        <w:t>（</w:t>
      </w:r>
      <w:r>
        <w:rPr>
          <w:rFonts w:hint="eastAsia" w:ascii="方正仿宋_GBK" w:eastAsia="方正仿宋_GBK"/>
          <w:sz w:val="28"/>
          <w:szCs w:val="28"/>
          <w:lang w:val="en-US" w:eastAsia="zh-CN"/>
        </w:rPr>
        <w:t>刘冬</w:t>
      </w:r>
      <w:r>
        <w:rPr>
          <w:rFonts w:hint="eastAsia" w:ascii="方正仿宋_GBK" w:eastAsia="方正仿宋_GBK"/>
          <w:sz w:val="28"/>
          <w:szCs w:val="28"/>
          <w:lang w:eastAsia="zh-CN"/>
        </w:rPr>
        <w:t>）</w:t>
      </w:r>
    </w:p>
    <w:p>
      <w:pPr>
        <w:pStyle w:val="4"/>
        <w:numPr>
          <w:ilvl w:val="0"/>
          <w:numId w:val="3"/>
        </w:numPr>
        <w:spacing w:line="480" w:lineRule="exact"/>
        <w:ind w:firstLineChars="0"/>
        <w:rPr>
          <w:rFonts w:hint="eastAsia" w:ascii="方正仿宋_GBK" w:eastAsia="方正仿宋_GBK"/>
          <w:sz w:val="28"/>
          <w:szCs w:val="28"/>
          <w:lang w:val="en-US" w:eastAsia="zh-CN"/>
        </w:rPr>
      </w:pPr>
      <w:r>
        <w:rPr>
          <w:rFonts w:hint="eastAsia" w:ascii="方正仿宋_GBK" w:eastAsia="方正仿宋_GBK"/>
          <w:sz w:val="28"/>
          <w:szCs w:val="28"/>
        </w:rPr>
        <w:t>口袋布自动缝制设备控制系统设计的应用研究</w:t>
      </w:r>
      <w:r>
        <w:rPr>
          <w:rFonts w:hint="eastAsia" w:ascii="方正仿宋_GBK" w:eastAsia="方正仿宋_GBK"/>
          <w:sz w:val="28"/>
          <w:szCs w:val="28"/>
          <w:lang w:eastAsia="zh-CN"/>
        </w:rPr>
        <w:t>（</w:t>
      </w:r>
      <w:r>
        <w:rPr>
          <w:rFonts w:hint="eastAsia" w:ascii="方正仿宋_GBK" w:eastAsia="方正仿宋_GBK"/>
          <w:sz w:val="28"/>
          <w:szCs w:val="28"/>
          <w:lang w:val="en-US" w:eastAsia="zh-CN"/>
        </w:rPr>
        <w:t>王伟</w:t>
      </w:r>
      <w:r>
        <w:rPr>
          <w:rFonts w:hint="eastAsia" w:ascii="方正仿宋_GBK" w:eastAsia="方正仿宋_GBK"/>
          <w:sz w:val="28"/>
          <w:szCs w:val="28"/>
          <w:lang w:eastAsia="zh-CN"/>
        </w:rPr>
        <w:t>）</w:t>
      </w:r>
    </w:p>
    <w:p>
      <w:pPr>
        <w:pStyle w:val="4"/>
        <w:numPr>
          <w:ilvl w:val="0"/>
          <w:numId w:val="3"/>
        </w:numPr>
        <w:spacing w:line="480" w:lineRule="exact"/>
        <w:ind w:firstLineChars="0"/>
        <w:rPr>
          <w:rFonts w:hint="eastAsia" w:ascii="方正仿宋_GBK" w:eastAsia="方正仿宋_GBK"/>
          <w:sz w:val="28"/>
          <w:szCs w:val="28"/>
          <w:lang w:val="en-US" w:eastAsia="zh-CN"/>
        </w:rPr>
      </w:pPr>
      <w:r>
        <w:rPr>
          <w:rFonts w:hint="eastAsia" w:ascii="方正仿宋_GBK" w:eastAsia="方正仿宋_GBK"/>
          <w:sz w:val="28"/>
          <w:szCs w:val="28"/>
        </w:rPr>
        <w:t>基于物联网技术的江豚智能监测系统研究</w:t>
      </w:r>
      <w:r>
        <w:rPr>
          <w:rFonts w:hint="eastAsia" w:ascii="方正仿宋_GBK" w:eastAsia="方正仿宋_GBK"/>
          <w:sz w:val="28"/>
          <w:szCs w:val="28"/>
          <w:lang w:eastAsia="zh-CN"/>
        </w:rPr>
        <w:t>（</w:t>
      </w:r>
      <w:r>
        <w:rPr>
          <w:rFonts w:hint="eastAsia" w:ascii="方正仿宋_GBK" w:eastAsia="方正仿宋_GBK"/>
          <w:sz w:val="28"/>
          <w:szCs w:val="28"/>
          <w:lang w:val="en-US" w:eastAsia="zh-CN"/>
        </w:rPr>
        <w:t>陈晓慧</w:t>
      </w:r>
      <w:r>
        <w:rPr>
          <w:rFonts w:hint="eastAsia" w:ascii="方正仿宋_GBK" w:eastAsia="方正仿宋_GBK"/>
          <w:sz w:val="28"/>
          <w:szCs w:val="28"/>
          <w:lang w:eastAsia="zh-CN"/>
        </w:rPr>
        <w:t>）</w:t>
      </w:r>
    </w:p>
    <w:p>
      <w:pPr>
        <w:pStyle w:val="4"/>
        <w:numPr>
          <w:ilvl w:val="0"/>
          <w:numId w:val="3"/>
        </w:numPr>
        <w:spacing w:line="480" w:lineRule="exact"/>
        <w:ind w:firstLineChars="0"/>
        <w:rPr>
          <w:rFonts w:hint="eastAsia" w:ascii="方正仿宋_GBK" w:eastAsia="方正仿宋_GBK"/>
          <w:sz w:val="28"/>
          <w:szCs w:val="28"/>
          <w:lang w:val="en-US" w:eastAsia="zh-CN"/>
        </w:rPr>
      </w:pPr>
      <w:r>
        <w:rPr>
          <w:rFonts w:hint="eastAsia" w:ascii="方正仿宋_GBK" w:eastAsia="方正仿宋_GBK"/>
          <w:sz w:val="28"/>
          <w:szCs w:val="28"/>
        </w:rPr>
        <w:t>基于Ansys workbench汽车排气系统的振动特性分析及优化设计研究与应用</w:t>
      </w:r>
      <w:r>
        <w:rPr>
          <w:rFonts w:hint="eastAsia" w:ascii="方正仿宋_GBK" w:eastAsia="方正仿宋_GBK"/>
          <w:sz w:val="28"/>
          <w:szCs w:val="28"/>
          <w:lang w:eastAsia="zh-CN"/>
        </w:rPr>
        <w:t>（</w:t>
      </w:r>
      <w:r>
        <w:rPr>
          <w:rFonts w:hint="eastAsia" w:ascii="方正仿宋_GBK" w:eastAsia="方正仿宋_GBK"/>
          <w:sz w:val="28"/>
          <w:szCs w:val="28"/>
        </w:rPr>
        <w:t>王淑芳</w:t>
      </w:r>
      <w:r>
        <w:rPr>
          <w:rFonts w:hint="eastAsia" w:ascii="方正仿宋_GBK" w:eastAsia="方正仿宋_GBK"/>
          <w:sz w:val="28"/>
          <w:szCs w:val="28"/>
          <w:lang w:eastAsia="zh-CN"/>
        </w:rPr>
        <w:t>）</w:t>
      </w:r>
    </w:p>
    <w:p>
      <w:pPr>
        <w:pStyle w:val="4"/>
        <w:numPr>
          <w:ilvl w:val="0"/>
          <w:numId w:val="3"/>
        </w:numPr>
        <w:spacing w:line="480" w:lineRule="exact"/>
        <w:ind w:firstLineChars="0"/>
        <w:rPr>
          <w:rFonts w:hint="eastAsia" w:ascii="方正仿宋_GBK" w:eastAsia="方正仿宋_GBK"/>
          <w:sz w:val="28"/>
          <w:szCs w:val="28"/>
          <w:lang w:val="en-US" w:eastAsia="zh-CN"/>
        </w:rPr>
      </w:pPr>
      <w:r>
        <w:rPr>
          <w:rFonts w:hint="eastAsia" w:ascii="方正仿宋_GBK" w:eastAsia="方正仿宋_GBK"/>
          <w:sz w:val="28"/>
          <w:szCs w:val="28"/>
        </w:rPr>
        <w:t>基于BIM技术的历史文化名城古建修复研究—— 以安庆历史名居为例</w:t>
      </w:r>
      <w:r>
        <w:rPr>
          <w:rFonts w:hint="eastAsia" w:ascii="方正仿宋_GBK" w:eastAsia="方正仿宋_GBK"/>
          <w:sz w:val="28"/>
          <w:szCs w:val="28"/>
          <w:lang w:eastAsia="zh-CN"/>
        </w:rPr>
        <w:t>（</w:t>
      </w:r>
      <w:r>
        <w:rPr>
          <w:rFonts w:hint="eastAsia" w:ascii="方正仿宋_GBK" w:eastAsia="方正仿宋_GBK"/>
          <w:sz w:val="28"/>
          <w:szCs w:val="28"/>
        </w:rPr>
        <w:t>曹  青</w:t>
      </w:r>
      <w:r>
        <w:rPr>
          <w:rFonts w:hint="eastAsia" w:ascii="方正仿宋_GBK" w:eastAsia="方正仿宋_GBK"/>
          <w:sz w:val="28"/>
          <w:szCs w:val="28"/>
          <w:lang w:eastAsia="zh-CN"/>
        </w:rPr>
        <w:t>）</w:t>
      </w:r>
    </w:p>
    <w:p>
      <w:pPr>
        <w:pStyle w:val="4"/>
        <w:numPr>
          <w:ilvl w:val="0"/>
          <w:numId w:val="3"/>
        </w:numPr>
        <w:spacing w:line="480" w:lineRule="exact"/>
        <w:ind w:firstLineChars="0"/>
        <w:rPr>
          <w:rFonts w:hint="eastAsia" w:ascii="方正仿宋_GBK" w:eastAsia="方正仿宋_GBK"/>
          <w:sz w:val="28"/>
          <w:szCs w:val="28"/>
          <w:lang w:val="en-US" w:eastAsia="zh-CN"/>
        </w:rPr>
      </w:pPr>
      <w:r>
        <w:rPr>
          <w:rFonts w:hint="eastAsia" w:ascii="方正仿宋_GBK" w:eastAsia="方正仿宋_GBK"/>
          <w:sz w:val="28"/>
          <w:szCs w:val="28"/>
        </w:rPr>
        <w:t>基于GA-BPNN的轨道车辆车体内板拉延成形精细化仿真研究与工程应用</w:t>
      </w:r>
      <w:r>
        <w:rPr>
          <w:rFonts w:hint="eastAsia" w:ascii="方正仿宋_GBK" w:eastAsia="方正仿宋_GBK"/>
          <w:sz w:val="28"/>
          <w:szCs w:val="28"/>
          <w:lang w:eastAsia="zh-CN"/>
        </w:rPr>
        <w:t>（</w:t>
      </w:r>
      <w:r>
        <w:rPr>
          <w:rFonts w:hint="eastAsia" w:ascii="方正仿宋_GBK" w:eastAsia="方正仿宋_GBK"/>
          <w:sz w:val="28"/>
          <w:szCs w:val="28"/>
        </w:rPr>
        <w:t>李陶胜</w:t>
      </w:r>
      <w:r>
        <w:rPr>
          <w:rFonts w:hint="eastAsia" w:ascii="方正仿宋_GBK" w:eastAsia="方正仿宋_GBK"/>
          <w:sz w:val="28"/>
          <w:szCs w:val="28"/>
          <w:lang w:eastAsia="zh-CN"/>
        </w:rPr>
        <w:t>）</w:t>
      </w:r>
    </w:p>
    <w:p>
      <w:pPr>
        <w:spacing w:line="480" w:lineRule="exact"/>
        <w:ind w:firstLine="560" w:firstLineChars="200"/>
        <w:rPr>
          <w:rFonts w:ascii="方正仿宋_GBK" w:eastAsia="方正仿宋_GBK"/>
          <w:b/>
          <w:bCs/>
          <w:sz w:val="28"/>
          <w:szCs w:val="28"/>
        </w:rPr>
      </w:pPr>
      <w:r>
        <w:rPr>
          <w:rFonts w:hint="eastAsia" w:ascii="方正仿宋_GBK" w:eastAsia="方正仿宋_GBK"/>
          <w:b/>
          <w:bCs/>
          <w:sz w:val="28"/>
          <w:szCs w:val="28"/>
        </w:rPr>
        <w:t>（</w:t>
      </w:r>
      <w:r>
        <w:rPr>
          <w:rFonts w:hint="eastAsia" w:ascii="方正仿宋_GBK" w:eastAsia="方正仿宋_GBK"/>
          <w:b/>
          <w:bCs/>
          <w:sz w:val="28"/>
          <w:szCs w:val="28"/>
          <w:lang w:val="en-US" w:eastAsia="zh-CN"/>
        </w:rPr>
        <w:t>二</w:t>
      </w:r>
      <w:r>
        <w:rPr>
          <w:rFonts w:hint="eastAsia" w:ascii="方正仿宋_GBK" w:eastAsia="方正仿宋_GBK"/>
          <w:b/>
          <w:bCs/>
          <w:sz w:val="28"/>
          <w:szCs w:val="28"/>
        </w:rPr>
        <w:t>）</w:t>
      </w:r>
      <w:r>
        <w:rPr>
          <w:rFonts w:ascii="方正仿宋_GBK" w:eastAsia="方正仿宋_GBK"/>
          <w:b/>
          <w:bCs/>
          <w:sz w:val="28"/>
          <w:szCs w:val="28"/>
        </w:rPr>
        <w:t>2022年省级立项项目</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基于</w:t>
      </w:r>
      <w:r>
        <w:rPr>
          <w:rFonts w:ascii="方正仿宋_GBK" w:eastAsia="方正仿宋_GBK"/>
          <w:sz w:val="28"/>
          <w:szCs w:val="28"/>
        </w:rPr>
        <w:t>BIM技术的装配式结构设计流程优化分析与研究</w:t>
      </w:r>
      <w:r>
        <w:rPr>
          <w:rFonts w:hint="eastAsia" w:ascii="方正仿宋_GBK" w:eastAsia="方正仿宋_GBK"/>
          <w:sz w:val="28"/>
          <w:szCs w:val="28"/>
        </w:rPr>
        <w:t>（张赛）</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基于</w:t>
      </w:r>
      <w:r>
        <w:rPr>
          <w:rFonts w:ascii="方正仿宋_GBK" w:eastAsia="方正仿宋_GBK"/>
          <w:sz w:val="28"/>
          <w:szCs w:val="28"/>
        </w:rPr>
        <w:t>PWM整流器的电动汽车车载充电系统研究与设计</w:t>
      </w:r>
      <w:r>
        <w:rPr>
          <w:rFonts w:hint="eastAsia" w:ascii="方正仿宋_GBK" w:eastAsia="方正仿宋_GBK"/>
          <w:sz w:val="28"/>
          <w:szCs w:val="28"/>
        </w:rPr>
        <w:t>（余成龙）</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益生菌山核桃产品研制及不饱和脂肪酸抗氧化研究（陈玮）</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高岭土改性高吸水性树脂的制备及其对砂浆性能的影响（毕雨田）</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蝉拟青霉菌侵染不同虫体的营养成分差异研究（金季也）</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酸奶发酵剂所含菌种对泡菜中农药残留的降解作用研究（王旻昱）</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小菜蛾抗菌肽</w:t>
      </w:r>
      <w:r>
        <w:rPr>
          <w:rFonts w:ascii="方正仿宋_GBK" w:eastAsia="方正仿宋_GBK"/>
          <w:sz w:val="28"/>
          <w:szCs w:val="28"/>
        </w:rPr>
        <w:t>Moricin对蝉拟青霉的免疫响应研究</w:t>
      </w:r>
      <w:r>
        <w:rPr>
          <w:rFonts w:hint="eastAsia" w:ascii="方正仿宋_GBK" w:eastAsia="方正仿宋_GBK"/>
          <w:sz w:val="28"/>
          <w:szCs w:val="28"/>
        </w:rPr>
        <w:t>（许慧慧）</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基于物联网技术的水环境监测系统的研究（方骥）</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基于中心域直方图的视频分割及关键帧提取研究（刘后胜）</w:t>
      </w:r>
    </w:p>
    <w:p>
      <w:pPr>
        <w:spacing w:line="480" w:lineRule="exact"/>
        <w:ind w:left="640"/>
        <w:rPr>
          <w:rFonts w:ascii="方正仿宋_GBK" w:eastAsia="方正仿宋_GBK"/>
          <w:b/>
          <w:bCs/>
          <w:sz w:val="28"/>
          <w:szCs w:val="28"/>
        </w:rPr>
      </w:pPr>
      <w:r>
        <w:rPr>
          <w:rFonts w:hint="eastAsia" w:ascii="方正仿宋_GBK" w:eastAsia="方正仿宋_GBK"/>
          <w:b/>
          <w:bCs/>
          <w:sz w:val="28"/>
          <w:szCs w:val="28"/>
        </w:rPr>
        <w:t>（</w:t>
      </w:r>
      <w:r>
        <w:rPr>
          <w:rFonts w:hint="eastAsia" w:ascii="方正仿宋_GBK" w:eastAsia="方正仿宋_GBK"/>
          <w:b/>
          <w:bCs/>
          <w:sz w:val="28"/>
          <w:szCs w:val="28"/>
          <w:lang w:val="en-US" w:eastAsia="zh-CN"/>
        </w:rPr>
        <w:t>三</w:t>
      </w:r>
      <w:r>
        <w:rPr>
          <w:rFonts w:hint="eastAsia" w:ascii="方正仿宋_GBK" w:eastAsia="方正仿宋_GBK"/>
          <w:b/>
          <w:bCs/>
          <w:sz w:val="28"/>
          <w:szCs w:val="28"/>
        </w:rPr>
        <w:t>）</w:t>
      </w:r>
      <w:r>
        <w:rPr>
          <w:rFonts w:ascii="方正仿宋_GBK" w:eastAsia="方正仿宋_GBK"/>
          <w:b/>
          <w:bCs/>
          <w:sz w:val="28"/>
          <w:szCs w:val="28"/>
        </w:rPr>
        <w:t>2022年校级立项项目</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基于直觉模糊集的度量理论研究及其在图像处理中的应用（黄锦芳）</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机动车排气分析仪</w:t>
      </w:r>
      <w:r>
        <w:rPr>
          <w:rFonts w:ascii="方正仿宋_GBK" w:eastAsia="方正仿宋_GBK"/>
          <w:sz w:val="28"/>
          <w:szCs w:val="28"/>
        </w:rPr>
        <w:t>NO2-NO转化率计算模型优化的研究</w:t>
      </w:r>
      <w:r>
        <w:rPr>
          <w:rFonts w:hint="eastAsia" w:ascii="方正仿宋_GBK" w:eastAsia="方正仿宋_GBK"/>
          <w:sz w:val="28"/>
          <w:szCs w:val="28"/>
        </w:rPr>
        <w:t>（万蕾）</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基于增材制造技术的机械零件优化设计（姚兆凤）</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大麦虫降解塑料效率提高及降解产物对环境影响评价研究（吕新霞）</w:t>
      </w:r>
    </w:p>
    <w:p>
      <w:pPr>
        <w:spacing w:line="480" w:lineRule="exact"/>
        <w:ind w:firstLine="560" w:firstLineChars="200"/>
        <w:rPr>
          <w:rFonts w:ascii="方正仿宋_GBK" w:eastAsia="方正仿宋_GBK"/>
          <w:b/>
          <w:bCs/>
          <w:sz w:val="28"/>
          <w:szCs w:val="28"/>
        </w:rPr>
      </w:pPr>
      <w:r>
        <w:rPr>
          <w:rFonts w:hint="eastAsia" w:ascii="方正仿宋_GBK" w:eastAsia="方正仿宋_GBK"/>
          <w:b/>
          <w:bCs/>
          <w:sz w:val="28"/>
          <w:szCs w:val="28"/>
        </w:rPr>
        <w:t>（</w:t>
      </w:r>
      <w:r>
        <w:rPr>
          <w:rFonts w:hint="eastAsia" w:ascii="方正仿宋_GBK" w:eastAsia="方正仿宋_GBK"/>
          <w:b/>
          <w:bCs/>
          <w:sz w:val="28"/>
          <w:szCs w:val="28"/>
          <w:lang w:val="en-US" w:eastAsia="zh-CN"/>
        </w:rPr>
        <w:t>四</w:t>
      </w:r>
      <w:bookmarkStart w:id="0" w:name="_GoBack"/>
      <w:bookmarkEnd w:id="0"/>
      <w:r>
        <w:rPr>
          <w:rFonts w:hint="eastAsia" w:ascii="方正仿宋_GBK" w:eastAsia="方正仿宋_GBK"/>
          <w:b/>
          <w:bCs/>
          <w:sz w:val="28"/>
          <w:szCs w:val="28"/>
        </w:rPr>
        <w:t>）</w:t>
      </w:r>
      <w:r>
        <w:rPr>
          <w:rFonts w:ascii="方正仿宋_GBK" w:eastAsia="方正仿宋_GBK"/>
          <w:b/>
          <w:bCs/>
          <w:sz w:val="28"/>
          <w:szCs w:val="28"/>
        </w:rPr>
        <w:t>2023</w:t>
      </w:r>
      <w:r>
        <w:rPr>
          <w:rFonts w:hint="eastAsia" w:ascii="方正仿宋_GBK" w:eastAsia="方正仿宋_GBK"/>
          <w:b/>
          <w:bCs/>
          <w:sz w:val="28"/>
          <w:szCs w:val="28"/>
        </w:rPr>
        <w:t>年推荐省级项目</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安庆地区特色药用植物种质资源鉴定与保护研究（李萍）</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超高强度钢高速硬态切削研究（赵夫超）</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基于</w:t>
      </w:r>
      <w:r>
        <w:rPr>
          <w:rFonts w:ascii="方正仿宋_GBK" w:eastAsia="方正仿宋_GBK"/>
          <w:sz w:val="28"/>
          <w:szCs w:val="28"/>
        </w:rPr>
        <w:t>FR-F800变频器PID技术在恒压供水系统中的应用研究</w:t>
      </w:r>
      <w:r>
        <w:rPr>
          <w:rFonts w:hint="eastAsia" w:ascii="方正仿宋_GBK" w:eastAsia="方正仿宋_GBK"/>
          <w:sz w:val="28"/>
          <w:szCs w:val="28"/>
        </w:rPr>
        <w:t>（罗林）</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大深度前围板拉延成形工艺参数多目标优化及应用（舒满征）</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元宇宙数字人技术的研究与应用服务（陶健林）</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基于区块链和云边协同的农产品质量监管与溯源研究（熊祖涛）</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基于三维激光扫描技术的徽派建筑模型构建与应用（张建飞）</w:t>
      </w:r>
    </w:p>
    <w:p>
      <w:pPr>
        <w:pStyle w:val="4"/>
        <w:numPr>
          <w:ilvl w:val="0"/>
          <w:numId w:val="3"/>
        </w:numPr>
        <w:spacing w:line="480" w:lineRule="exact"/>
        <w:ind w:firstLineChars="0"/>
        <w:rPr>
          <w:rFonts w:ascii="方正仿宋_GBK" w:eastAsia="方正仿宋_GBK"/>
          <w:sz w:val="28"/>
          <w:szCs w:val="28"/>
        </w:rPr>
      </w:pPr>
      <w:r>
        <w:rPr>
          <w:rFonts w:ascii="方正仿宋_GBK" w:eastAsia="方正仿宋_GBK"/>
          <w:sz w:val="28"/>
          <w:szCs w:val="28"/>
        </w:rPr>
        <w:t>DNA遗传算法在机器人轨迹路径优化的应用研究</w:t>
      </w:r>
      <w:r>
        <w:rPr>
          <w:rFonts w:hint="eastAsia" w:ascii="方正仿宋_GBK" w:eastAsia="方正仿宋_GBK"/>
          <w:sz w:val="28"/>
          <w:szCs w:val="28"/>
        </w:rPr>
        <w:t>（夏燕玲）</w:t>
      </w:r>
    </w:p>
    <w:p>
      <w:pPr>
        <w:tabs>
          <w:tab w:val="left" w:pos="3778"/>
        </w:tabs>
        <w:rPr>
          <w:rFonts w:ascii="黑体" w:hAnsi="黑体" w:eastAsia="黑体"/>
          <w:sz w:val="32"/>
          <w:szCs w:val="32"/>
        </w:rPr>
        <w:sectPr>
          <w:pgSz w:w="11906" w:h="16838"/>
          <w:pgMar w:top="1440" w:right="1418" w:bottom="1440" w:left="1418" w:header="851" w:footer="992" w:gutter="0"/>
          <w:cols w:space="425" w:num="1"/>
          <w:docGrid w:type="lines" w:linePitch="312" w:charSpace="0"/>
        </w:sectPr>
      </w:pPr>
      <w:r>
        <w:rPr>
          <w:rFonts w:ascii="黑体" w:hAnsi="黑体" w:eastAsia="黑体"/>
          <w:sz w:val="32"/>
          <w:szCs w:val="32"/>
        </w:rPr>
        <w:tab/>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373350"/>
    <w:multiLevelType w:val="singleLevel"/>
    <w:tmpl w:val="84373350"/>
    <w:lvl w:ilvl="0" w:tentative="0">
      <w:start w:val="1"/>
      <w:numFmt w:val="chineseCounting"/>
      <w:suff w:val="nothing"/>
      <w:lvlText w:val="%1、"/>
      <w:lvlJc w:val="left"/>
      <w:rPr>
        <w:rFonts w:hint="eastAsia"/>
      </w:rPr>
    </w:lvl>
  </w:abstractNum>
  <w:abstractNum w:abstractNumId="1">
    <w:nsid w:val="1D9A639F"/>
    <w:multiLevelType w:val="multilevel"/>
    <w:tmpl w:val="1D9A639F"/>
    <w:lvl w:ilvl="0" w:tentative="0">
      <w:start w:val="1"/>
      <w:numFmt w:val="decimal"/>
      <w:lvlText w:val="%1."/>
      <w:lvlJc w:val="left"/>
      <w:pPr>
        <w:ind w:left="1080" w:hanging="440"/>
      </w:p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abstractNum w:abstractNumId="2">
    <w:nsid w:val="62B038CA"/>
    <w:multiLevelType w:val="multilevel"/>
    <w:tmpl w:val="62B038CA"/>
    <w:lvl w:ilvl="0" w:tentative="0">
      <w:start w:val="1"/>
      <w:numFmt w:val="decimal"/>
      <w:lvlText w:val="%1."/>
      <w:lvlJc w:val="left"/>
      <w:pPr>
        <w:ind w:left="1080" w:hanging="440"/>
      </w:p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num w:numId="1">
    <w:abstractNumId w:val="0"/>
  </w:num>
  <w:num w:numId="2">
    <w:abstractNumId w:val="1"/>
  </w:num>
  <w:num w:numId="3">
    <w:abstractNumId w:val="2"/>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